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42" w:rsidRPr="00FA5A42" w:rsidRDefault="00FA5A42" w:rsidP="00FA5A42">
      <w:pPr>
        <w:jc w:val="center"/>
        <w:rPr>
          <w:rFonts w:asciiTheme="minorHAnsi" w:hAnsiTheme="minorHAnsi"/>
          <w:b/>
          <w:bCs/>
          <w:sz w:val="36"/>
          <w:szCs w:val="36"/>
        </w:rPr>
      </w:pPr>
      <w:r>
        <w:rPr>
          <w:rFonts w:asciiTheme="minorHAnsi" w:hAnsiTheme="minorHAnsi"/>
          <w:b/>
          <w:bCs/>
          <w:sz w:val="36"/>
          <w:szCs w:val="36"/>
        </w:rPr>
        <w:t>Basic SNL Terms</w:t>
      </w:r>
    </w:p>
    <w:p w:rsidR="00FA5A42" w:rsidRDefault="00FA5A42" w:rsidP="006B4BD6">
      <w:pPr>
        <w:rPr>
          <w:rFonts w:asciiTheme="minorHAnsi" w:hAnsiTheme="minorHAnsi"/>
          <w:b/>
          <w:bCs/>
        </w:rPr>
      </w:pPr>
    </w:p>
    <w:p w:rsidR="00FA5A42" w:rsidRDefault="00FA5A42" w:rsidP="00FA5A42">
      <w:pPr>
        <w:ind w:firstLine="720"/>
        <w:rPr>
          <w:rFonts w:asciiTheme="minorHAnsi" w:hAnsiTheme="minorHAnsi"/>
          <w:b/>
          <w:bCs/>
        </w:rPr>
      </w:pPr>
    </w:p>
    <w:p w:rsidR="00FA5A42" w:rsidRPr="00A80677" w:rsidRDefault="00FA5A42" w:rsidP="00A80677">
      <w:pPr>
        <w:rPr>
          <w:rFonts w:asciiTheme="minorHAnsi" w:eastAsia="Calibri" w:hAnsiTheme="minorHAnsi"/>
          <w:b/>
        </w:rPr>
      </w:pPr>
      <w:r w:rsidRPr="00A80677">
        <w:rPr>
          <w:rFonts w:asciiTheme="minorHAnsi" w:eastAsia="Calibri" w:hAnsiTheme="minorHAnsi"/>
          <w:b/>
        </w:rPr>
        <w:t xml:space="preserve">Competencies: </w:t>
      </w:r>
    </w:p>
    <w:p w:rsidR="00FA5A42" w:rsidRPr="00A80677" w:rsidRDefault="00A80677" w:rsidP="00A80677">
      <w:pPr>
        <w:ind w:firstLine="720"/>
        <w:rPr>
          <w:rFonts w:asciiTheme="minorHAnsi" w:eastAsia="Calibri" w:hAnsiTheme="minorHAnsi"/>
        </w:rPr>
      </w:pPr>
      <w:r w:rsidRPr="00A80677">
        <w:rPr>
          <w:rFonts w:asciiTheme="minorHAnsi" w:eastAsia="Calibri" w:hAnsiTheme="minorHAnsi"/>
        </w:rPr>
        <w:t>Competencies, or Competence Statements</w:t>
      </w:r>
      <w:r w:rsidR="003410CF">
        <w:rPr>
          <w:rFonts w:asciiTheme="minorHAnsi" w:eastAsia="Calibri" w:hAnsiTheme="minorHAnsi"/>
        </w:rPr>
        <w:t>,</w:t>
      </w:r>
      <w:r w:rsidRPr="00A80677">
        <w:rPr>
          <w:rFonts w:asciiTheme="minorHAnsi" w:eastAsia="Calibri" w:hAnsiTheme="minorHAnsi"/>
        </w:rPr>
        <w:t xml:space="preserve"> are </w:t>
      </w:r>
      <w:r w:rsidR="003410CF">
        <w:rPr>
          <w:rFonts w:asciiTheme="minorHAnsi" w:eastAsia="Calibri" w:hAnsiTheme="minorHAnsi"/>
        </w:rPr>
        <w:t>requirements</w:t>
      </w:r>
      <w:r w:rsidR="00FA5A42" w:rsidRPr="00A80677">
        <w:rPr>
          <w:rFonts w:asciiTheme="minorHAnsi" w:eastAsia="Calibri" w:hAnsiTheme="minorHAnsi"/>
        </w:rPr>
        <w:t xml:space="preserve"> written as statements describing </w:t>
      </w:r>
      <w:r w:rsidRPr="00A80677">
        <w:rPr>
          <w:rFonts w:asciiTheme="minorHAnsi" w:eastAsia="Calibri" w:hAnsiTheme="minorHAnsi"/>
        </w:rPr>
        <w:t xml:space="preserve">basic </w:t>
      </w:r>
      <w:r w:rsidR="00FA5A42" w:rsidRPr="00A80677">
        <w:rPr>
          <w:rFonts w:asciiTheme="minorHAnsi" w:eastAsia="Calibri" w:hAnsiTheme="minorHAnsi"/>
        </w:rPr>
        <w:t xml:space="preserve">competence. </w:t>
      </w:r>
      <w:r w:rsidRPr="00A80677">
        <w:rPr>
          <w:rFonts w:asciiTheme="minorHAnsi" w:eastAsia="Calibri" w:hAnsiTheme="minorHAnsi"/>
        </w:rPr>
        <w:t xml:space="preserve"> These competences are flexible, depending on an SNL student’s experience and preferences. “</w:t>
      </w:r>
      <w:r w:rsidR="00FA5A42" w:rsidRPr="00A80677">
        <w:rPr>
          <w:rFonts w:asciiTheme="minorHAnsi" w:eastAsia="Calibri" w:hAnsiTheme="minorHAnsi"/>
        </w:rPr>
        <w:t>Certain competences are met by specific courses or projects; others can be satisfied by relevant</w:t>
      </w:r>
      <w:r w:rsidRPr="00A80677">
        <w:rPr>
          <w:rFonts w:asciiTheme="minorHAnsi" w:eastAsia="Calibri" w:hAnsiTheme="minorHAnsi"/>
        </w:rPr>
        <w:t xml:space="preserve"> transfer courses or experience</w:t>
      </w:r>
      <w:r w:rsidR="003410CF" w:rsidRPr="00A80677">
        <w:rPr>
          <w:rFonts w:asciiTheme="minorHAnsi" w:eastAsia="Calibri" w:hAnsiTheme="minorHAnsi"/>
        </w:rPr>
        <w:t>” (</w:t>
      </w:r>
      <w:r w:rsidRPr="00A80677">
        <w:rPr>
          <w:rFonts w:asciiTheme="minorHAnsi" w:eastAsia="Calibri" w:hAnsiTheme="minorHAnsi"/>
        </w:rPr>
        <w:t>SNL online)</w:t>
      </w:r>
      <w:r w:rsidR="003410CF">
        <w:rPr>
          <w:rFonts w:asciiTheme="minorHAnsi" w:eastAsia="Calibri" w:hAnsiTheme="minorHAnsi"/>
        </w:rPr>
        <w:t>.</w:t>
      </w:r>
    </w:p>
    <w:p w:rsidR="00FA5A42" w:rsidRDefault="00FA5A42" w:rsidP="00A80677">
      <w:pPr>
        <w:rPr>
          <w:rFonts w:asciiTheme="minorHAnsi" w:hAnsiTheme="minorHAnsi"/>
          <w:b/>
          <w:bCs/>
        </w:rPr>
      </w:pPr>
    </w:p>
    <w:p w:rsidR="00FA5A42" w:rsidRPr="00C96433" w:rsidRDefault="00FA5A42" w:rsidP="00FA5A42">
      <w:pPr>
        <w:rPr>
          <w:rFonts w:asciiTheme="minorHAnsi" w:eastAsia="Calibri" w:hAnsiTheme="minorHAnsi"/>
          <w:b/>
        </w:rPr>
      </w:pPr>
      <w:r w:rsidRPr="00C96433">
        <w:rPr>
          <w:rFonts w:asciiTheme="minorHAnsi" w:eastAsia="Calibri" w:hAnsiTheme="minorHAnsi"/>
          <w:b/>
        </w:rPr>
        <w:t xml:space="preserve">Academic Committee: </w:t>
      </w:r>
    </w:p>
    <w:p w:rsidR="00FA5A42" w:rsidRPr="00C96433" w:rsidRDefault="00FA5A42" w:rsidP="00FA5A42">
      <w:pPr>
        <w:ind w:firstLine="720"/>
        <w:jc w:val="both"/>
        <w:rPr>
          <w:rFonts w:asciiTheme="minorHAnsi" w:eastAsia="Calibri" w:hAnsiTheme="minorHAnsi"/>
        </w:rPr>
      </w:pPr>
      <w:r w:rsidRPr="00C96433">
        <w:rPr>
          <w:rFonts w:asciiTheme="minorHAnsi" w:eastAsia="Calibri" w:hAnsiTheme="minorHAnsi"/>
        </w:rPr>
        <w:t>The Ac</w:t>
      </w:r>
      <w:r>
        <w:rPr>
          <w:rFonts w:asciiTheme="minorHAnsi" w:eastAsia="Calibri" w:hAnsiTheme="minorHAnsi"/>
        </w:rPr>
        <w:t>ademic Committee usually consists of three members: the SNL student</w:t>
      </w:r>
      <w:r w:rsidRPr="00C96433">
        <w:rPr>
          <w:rFonts w:asciiTheme="minorHAnsi" w:eastAsia="Calibri" w:hAnsiTheme="minorHAnsi"/>
        </w:rPr>
        <w:t xml:space="preserve">, </w:t>
      </w:r>
      <w:r>
        <w:rPr>
          <w:rFonts w:asciiTheme="minorHAnsi" w:eastAsia="Calibri" w:hAnsiTheme="minorHAnsi"/>
        </w:rPr>
        <w:t xml:space="preserve">an SNL Faculty Mentor, </w:t>
      </w:r>
      <w:r w:rsidRPr="00C96433">
        <w:rPr>
          <w:rFonts w:asciiTheme="minorHAnsi" w:eastAsia="Calibri" w:hAnsiTheme="minorHAnsi"/>
        </w:rPr>
        <w:t xml:space="preserve">and </w:t>
      </w:r>
      <w:r>
        <w:rPr>
          <w:rFonts w:asciiTheme="minorHAnsi" w:eastAsia="Calibri" w:hAnsiTheme="minorHAnsi"/>
        </w:rPr>
        <w:t>a Professional Advisor</w:t>
      </w:r>
      <w:r w:rsidRPr="00C96433">
        <w:rPr>
          <w:rFonts w:asciiTheme="minorHAnsi" w:eastAsia="Calibri" w:hAnsiTheme="minorHAnsi"/>
        </w:rPr>
        <w:t xml:space="preserve">. </w:t>
      </w:r>
      <w:r>
        <w:rPr>
          <w:rFonts w:asciiTheme="minorHAnsi" w:eastAsia="Calibri" w:hAnsiTheme="minorHAnsi"/>
        </w:rPr>
        <w:t>Occasionally, a peer may act as a fourth member.</w:t>
      </w:r>
      <w:r w:rsidRPr="00C96433">
        <w:rPr>
          <w:rFonts w:asciiTheme="minorHAnsi" w:eastAsia="Calibri" w:hAnsiTheme="minorHAnsi"/>
        </w:rPr>
        <w:t xml:space="preserve"> </w:t>
      </w:r>
      <w:r>
        <w:rPr>
          <w:rFonts w:asciiTheme="minorHAnsi" w:eastAsia="Calibri" w:hAnsiTheme="minorHAnsi"/>
        </w:rPr>
        <w:t>All SNL</w:t>
      </w:r>
      <w:r w:rsidRPr="00C96433">
        <w:rPr>
          <w:rFonts w:asciiTheme="minorHAnsi" w:eastAsia="Calibri" w:hAnsiTheme="minorHAnsi"/>
        </w:rPr>
        <w:t xml:space="preserve"> students have </w:t>
      </w:r>
      <w:r>
        <w:rPr>
          <w:rFonts w:asciiTheme="minorHAnsi" w:eastAsia="Calibri" w:hAnsiTheme="minorHAnsi"/>
        </w:rPr>
        <w:t>their own</w:t>
      </w:r>
      <w:r w:rsidRPr="00C96433">
        <w:rPr>
          <w:rFonts w:asciiTheme="minorHAnsi" w:eastAsia="Calibri" w:hAnsiTheme="minorHAnsi"/>
        </w:rPr>
        <w:t xml:space="preserve"> academic committee. </w:t>
      </w:r>
      <w:r>
        <w:rPr>
          <w:rFonts w:asciiTheme="minorHAnsi" w:eastAsia="Calibri" w:hAnsiTheme="minorHAnsi"/>
        </w:rPr>
        <w:t>The main purpose of this committee is to guide and assist the SNL student as they work to complete their individualized program.</w:t>
      </w:r>
    </w:p>
    <w:p w:rsidR="00FA5A42" w:rsidRDefault="00FA5A42" w:rsidP="006B4BD6">
      <w:pPr>
        <w:rPr>
          <w:rFonts w:asciiTheme="minorHAnsi" w:hAnsiTheme="minorHAnsi"/>
          <w:b/>
          <w:bCs/>
        </w:rPr>
      </w:pPr>
    </w:p>
    <w:p w:rsidR="006B4BD6" w:rsidRPr="006B4BD6" w:rsidRDefault="006B4BD6" w:rsidP="006B4BD6">
      <w:pPr>
        <w:rPr>
          <w:rFonts w:asciiTheme="minorHAnsi" w:hAnsiTheme="minorHAnsi"/>
          <w:b/>
          <w:bCs/>
        </w:rPr>
      </w:pPr>
      <w:r w:rsidRPr="006B4BD6">
        <w:rPr>
          <w:rFonts w:asciiTheme="minorHAnsi" w:hAnsiTheme="minorHAnsi"/>
          <w:b/>
          <w:bCs/>
        </w:rPr>
        <w:t>Independent Learning Pursuits (ILP):</w:t>
      </w:r>
    </w:p>
    <w:p w:rsidR="006B4BD6" w:rsidRDefault="006B4BD6" w:rsidP="006B4BD6">
      <w:pPr>
        <w:ind w:firstLine="720"/>
        <w:rPr>
          <w:rFonts w:asciiTheme="minorHAnsi" w:hAnsiTheme="minorHAnsi"/>
          <w:bCs/>
        </w:rPr>
      </w:pPr>
      <w:r w:rsidRPr="006B4BD6">
        <w:rPr>
          <w:rFonts w:asciiTheme="minorHAnsi" w:hAnsiTheme="minorHAnsi"/>
        </w:rPr>
        <w:t>An ILP is not a course</w:t>
      </w:r>
      <w:r>
        <w:rPr>
          <w:rFonts w:asciiTheme="minorHAnsi" w:hAnsiTheme="minorHAnsi"/>
        </w:rPr>
        <w:t>,</w:t>
      </w:r>
      <w:r w:rsidRPr="006B4BD6">
        <w:rPr>
          <w:rFonts w:asciiTheme="minorHAnsi" w:hAnsiTheme="minorHAnsi"/>
          <w:bCs/>
        </w:rPr>
        <w:t xml:space="preserve"> </w:t>
      </w:r>
      <w:r>
        <w:rPr>
          <w:rFonts w:asciiTheme="minorHAnsi" w:hAnsiTheme="minorHAnsi"/>
          <w:bCs/>
        </w:rPr>
        <w:t xml:space="preserve">it is written proof of </w:t>
      </w:r>
      <w:r w:rsidRPr="006B4BD6">
        <w:rPr>
          <w:rFonts w:asciiTheme="minorHAnsi" w:hAnsiTheme="minorHAnsi"/>
          <w:bCs/>
        </w:rPr>
        <w:t xml:space="preserve">projects completed or knowledge obtained outside of traditional college courses that complete competencies. Part of an ILP involves writing a paper that explains and demonstrates what and how the writer gained knowledge or accomplished something. </w:t>
      </w:r>
    </w:p>
    <w:p w:rsidR="006B4BD6" w:rsidRPr="006B4BD6" w:rsidRDefault="006B4BD6" w:rsidP="006B4BD6">
      <w:pPr>
        <w:ind w:firstLine="720"/>
        <w:rPr>
          <w:rFonts w:asciiTheme="minorHAnsi" w:hAnsiTheme="minorHAnsi"/>
        </w:rPr>
      </w:pPr>
    </w:p>
    <w:p w:rsidR="006B4BD6" w:rsidRPr="006B4BD6" w:rsidRDefault="006B4BD6" w:rsidP="006B4BD6">
      <w:pPr>
        <w:rPr>
          <w:rFonts w:asciiTheme="minorHAnsi" w:eastAsia="Calibri" w:hAnsiTheme="minorHAnsi"/>
          <w:b/>
        </w:rPr>
      </w:pPr>
      <w:r w:rsidRPr="006B4BD6">
        <w:rPr>
          <w:rFonts w:asciiTheme="minorHAnsi" w:eastAsia="Calibri" w:hAnsiTheme="minorHAnsi"/>
          <w:b/>
        </w:rPr>
        <w:t>Externship</w:t>
      </w:r>
      <w:r w:rsidRPr="006B4BD6">
        <w:rPr>
          <w:rFonts w:asciiTheme="minorHAnsi" w:hAnsiTheme="minorHAnsi"/>
          <w:b/>
        </w:rPr>
        <w:t xml:space="preserve"> writing:</w:t>
      </w:r>
    </w:p>
    <w:p w:rsidR="006B4BD6" w:rsidRPr="006B4BD6" w:rsidRDefault="006B4BD6" w:rsidP="00A80677">
      <w:pPr>
        <w:ind w:firstLine="720"/>
        <w:rPr>
          <w:rFonts w:asciiTheme="minorHAnsi" w:eastAsia="Calibri" w:hAnsiTheme="minorHAnsi"/>
        </w:rPr>
      </w:pPr>
      <w:r w:rsidRPr="006B4BD6">
        <w:rPr>
          <w:rFonts w:asciiTheme="minorHAnsi" w:eastAsia="Calibri" w:hAnsiTheme="minorHAnsi"/>
        </w:rPr>
        <w:t xml:space="preserve">The Externship </w:t>
      </w:r>
      <w:r>
        <w:rPr>
          <w:rFonts w:asciiTheme="minorHAnsi" w:eastAsia="Calibri" w:hAnsiTheme="minorHAnsi"/>
        </w:rPr>
        <w:t>is experience-based learning</w:t>
      </w:r>
      <w:r w:rsidRPr="006B4BD6">
        <w:rPr>
          <w:rFonts w:asciiTheme="minorHAnsi" w:eastAsia="Calibri" w:hAnsiTheme="minorHAnsi"/>
        </w:rPr>
        <w:t>. Much, if not all, Externship learning occurs outside of the traditional classroom. The Exter</w:t>
      </w:r>
      <w:r>
        <w:rPr>
          <w:rFonts w:asciiTheme="minorHAnsi" w:eastAsia="Calibri" w:hAnsiTheme="minorHAnsi"/>
        </w:rPr>
        <w:t xml:space="preserve">nship fulfills two competencies. </w:t>
      </w:r>
      <w:r w:rsidRPr="006B4BD6">
        <w:rPr>
          <w:rFonts w:asciiTheme="minorHAnsi" w:eastAsia="Calibri" w:hAnsiTheme="minorHAnsi"/>
        </w:rPr>
        <w:t xml:space="preserve">One competency is already written, and the student develops </w:t>
      </w:r>
      <w:r>
        <w:rPr>
          <w:rFonts w:asciiTheme="minorHAnsi" w:eastAsia="Calibri" w:hAnsiTheme="minorHAnsi"/>
        </w:rPr>
        <w:t xml:space="preserve">the second </w:t>
      </w:r>
      <w:r w:rsidRPr="006B4BD6">
        <w:rPr>
          <w:rFonts w:asciiTheme="minorHAnsi" w:eastAsia="Calibri" w:hAnsiTheme="minorHAnsi"/>
        </w:rPr>
        <w:t>one with the assistance of the instructor</w:t>
      </w:r>
      <w:r>
        <w:rPr>
          <w:rFonts w:asciiTheme="minorHAnsi" w:eastAsia="Calibri" w:hAnsiTheme="minorHAnsi"/>
        </w:rPr>
        <w:t xml:space="preserve"> or the Academic Committee</w:t>
      </w:r>
      <w:r w:rsidRPr="006B4BD6">
        <w:rPr>
          <w:rFonts w:asciiTheme="minorHAnsi" w:eastAsia="Calibri" w:hAnsiTheme="minorHAnsi"/>
        </w:rPr>
        <w:t xml:space="preserve">.  </w:t>
      </w:r>
      <w:r>
        <w:rPr>
          <w:rFonts w:asciiTheme="minorHAnsi" w:eastAsia="Calibri" w:hAnsiTheme="minorHAnsi"/>
        </w:rPr>
        <w:t>The</w:t>
      </w:r>
      <w:r w:rsidRPr="006B4BD6">
        <w:rPr>
          <w:rFonts w:asciiTheme="minorHAnsi" w:eastAsia="Calibri" w:hAnsiTheme="minorHAnsi"/>
        </w:rPr>
        <w:t xml:space="preserve"> nature of writing required for the Externship is dependent upon the conditions set by the instructor or </w:t>
      </w:r>
      <w:r w:rsidRPr="00196817">
        <w:rPr>
          <w:rFonts w:asciiTheme="minorHAnsi" w:eastAsia="Calibri" w:hAnsiTheme="minorHAnsi"/>
        </w:rPr>
        <w:t>Academic Committee</w:t>
      </w:r>
      <w:r>
        <w:rPr>
          <w:rFonts w:asciiTheme="minorHAnsi" w:eastAsia="Calibri" w:hAnsiTheme="minorHAnsi"/>
        </w:rPr>
        <w:t>.</w:t>
      </w:r>
    </w:p>
    <w:p w:rsidR="00FA5A42" w:rsidRPr="00C96433" w:rsidRDefault="00FA5A42" w:rsidP="00C96433">
      <w:pPr>
        <w:ind w:firstLine="720"/>
        <w:jc w:val="both"/>
        <w:rPr>
          <w:rFonts w:asciiTheme="minorHAnsi" w:eastAsia="Calibri" w:hAnsiTheme="minorHAnsi"/>
        </w:rPr>
      </w:pPr>
    </w:p>
    <w:p w:rsidR="006B4BD6" w:rsidRPr="006B4BD6" w:rsidRDefault="006B4BD6" w:rsidP="006B4BD6">
      <w:pPr>
        <w:rPr>
          <w:rFonts w:asciiTheme="minorHAnsi" w:hAnsiTheme="minorHAnsi"/>
          <w:b/>
        </w:rPr>
      </w:pPr>
      <w:r w:rsidRPr="006B4BD6">
        <w:rPr>
          <w:rFonts w:asciiTheme="minorHAnsi" w:hAnsiTheme="minorHAnsi"/>
          <w:b/>
        </w:rPr>
        <w:t>The Advanced Project:</w:t>
      </w:r>
    </w:p>
    <w:p w:rsidR="006B4BD6" w:rsidRDefault="006B4BD6" w:rsidP="00C96433">
      <w:pPr>
        <w:ind w:firstLine="720"/>
        <w:rPr>
          <w:rFonts w:asciiTheme="minorHAnsi" w:hAnsiTheme="minorHAnsi"/>
        </w:rPr>
      </w:pPr>
      <w:r w:rsidRPr="006B4BD6">
        <w:rPr>
          <w:rFonts w:asciiTheme="minorHAnsi" w:hAnsiTheme="minorHAnsi"/>
        </w:rPr>
        <w:t xml:space="preserve">The Advanced Project </w:t>
      </w:r>
      <w:r w:rsidR="00FA5A42">
        <w:rPr>
          <w:rFonts w:asciiTheme="minorHAnsi" w:hAnsiTheme="minorHAnsi"/>
        </w:rPr>
        <w:t>required for</w:t>
      </w:r>
      <w:r w:rsidRPr="006B4BD6">
        <w:rPr>
          <w:rFonts w:asciiTheme="minorHAnsi" w:hAnsiTheme="minorHAnsi"/>
        </w:rPr>
        <w:t xml:space="preserve"> students to graduate. Students must design a document or program, create a business plan, or come up with another major endeavor that he or she intends to use in real life. Part of this project is to write about how this endeavor was, is, or will be accomplished. In many cases, the written portion of the advanced project is research-based. There is no class for the Advanced Project, and it must be completed by the student without an instructor, on her own time. This, combined with a large page requirement (usually ten to thirty pages) for the written portion, can cause anxiety for some students.</w:t>
      </w:r>
    </w:p>
    <w:p w:rsidR="00FA5A42" w:rsidRDefault="00FA5A42" w:rsidP="00C96433">
      <w:pPr>
        <w:ind w:firstLine="720"/>
        <w:rPr>
          <w:rFonts w:asciiTheme="minorHAnsi" w:hAnsiTheme="minorHAnsi"/>
        </w:rPr>
      </w:pPr>
    </w:p>
    <w:p w:rsidR="00FA5A42" w:rsidRDefault="00FA5A42" w:rsidP="00FA5A42">
      <w:pPr>
        <w:rPr>
          <w:rFonts w:asciiTheme="minorHAnsi" w:hAnsiTheme="minorHAnsi"/>
          <w:b/>
        </w:rPr>
      </w:pPr>
      <w:r w:rsidRPr="00FA5A42">
        <w:rPr>
          <w:rFonts w:asciiTheme="minorHAnsi" w:hAnsiTheme="minorHAnsi"/>
          <w:b/>
        </w:rPr>
        <w:t>Focus Area:</w:t>
      </w:r>
    </w:p>
    <w:p w:rsidR="00A80677" w:rsidRPr="00A80677" w:rsidRDefault="00072B8E" w:rsidP="00072B8E">
      <w:pPr>
        <w:ind w:firstLine="720"/>
        <w:rPr>
          <w:rFonts w:asciiTheme="minorHAnsi" w:hAnsiTheme="minorHAnsi"/>
        </w:rPr>
      </w:pPr>
      <w:r w:rsidRPr="00072B8E">
        <w:rPr>
          <w:rFonts w:asciiTheme="minorHAnsi" w:hAnsiTheme="minorHAnsi"/>
          <w:bCs/>
        </w:rPr>
        <w:t xml:space="preserve">A focus area </w:t>
      </w:r>
      <w:r w:rsidR="003410CF" w:rsidRPr="00072B8E">
        <w:rPr>
          <w:rFonts w:asciiTheme="minorHAnsi" w:hAnsiTheme="minorHAnsi"/>
          <w:bCs/>
        </w:rPr>
        <w:t>is</w:t>
      </w:r>
      <w:r w:rsidR="003410CF" w:rsidRPr="00072B8E">
        <w:rPr>
          <w:rFonts w:asciiTheme="minorHAnsi" w:hAnsiTheme="minorHAnsi"/>
          <w:b/>
          <w:bCs/>
        </w:rPr>
        <w:t xml:space="preserve"> similar</w:t>
      </w:r>
      <w:r w:rsidRPr="00072B8E">
        <w:rPr>
          <w:rFonts w:asciiTheme="minorHAnsi" w:hAnsiTheme="minorHAnsi"/>
          <w:bCs/>
        </w:rPr>
        <w:t xml:space="preserve"> to the traditional university major. It</w:t>
      </w:r>
      <w:r w:rsidR="00A80677" w:rsidRPr="00072B8E">
        <w:rPr>
          <w:rFonts w:asciiTheme="minorHAnsi" w:hAnsiTheme="minorHAnsi"/>
        </w:rPr>
        <w:t xml:space="preserve"> </w:t>
      </w:r>
      <w:r w:rsidRPr="00072B8E">
        <w:rPr>
          <w:rFonts w:asciiTheme="minorHAnsi" w:hAnsiTheme="minorHAnsi"/>
        </w:rPr>
        <w:t xml:space="preserve">consists of </w:t>
      </w:r>
      <w:r w:rsidR="00A80677" w:rsidRPr="00072B8E">
        <w:rPr>
          <w:rFonts w:asciiTheme="minorHAnsi" w:hAnsiTheme="minorHAnsi"/>
        </w:rPr>
        <w:t>competenc</w:t>
      </w:r>
      <w:r w:rsidRPr="00072B8E">
        <w:rPr>
          <w:rFonts w:asciiTheme="minorHAnsi" w:hAnsiTheme="minorHAnsi"/>
        </w:rPr>
        <w:t>i</w:t>
      </w:r>
      <w:r w:rsidR="00A80677" w:rsidRPr="00072B8E">
        <w:rPr>
          <w:rFonts w:asciiTheme="minorHAnsi" w:hAnsiTheme="minorHAnsi"/>
        </w:rPr>
        <w:t>es satisfied by SNL cou</w:t>
      </w:r>
      <w:r w:rsidR="000B71EB" w:rsidRPr="00072B8E">
        <w:rPr>
          <w:rFonts w:asciiTheme="minorHAnsi" w:hAnsiTheme="minorHAnsi"/>
        </w:rPr>
        <w:t xml:space="preserve">rses, relevant transfer courses, </w:t>
      </w:r>
      <w:r w:rsidR="00A80677" w:rsidRPr="00072B8E">
        <w:rPr>
          <w:rFonts w:asciiTheme="minorHAnsi" w:hAnsiTheme="minorHAnsi"/>
        </w:rPr>
        <w:t>and documented college-level learning from experience. </w:t>
      </w:r>
      <w:r w:rsidRPr="00072B8E">
        <w:rPr>
          <w:rFonts w:asciiTheme="minorHAnsi" w:hAnsiTheme="minorHAnsi"/>
        </w:rPr>
        <w:t xml:space="preserve"> The Advanced Project addresses learning in the SNL student’s individualized Focus Area.</w:t>
      </w:r>
    </w:p>
    <w:p w:rsidR="00A80677" w:rsidRDefault="00A80677" w:rsidP="006B4BD6">
      <w:pPr>
        <w:pStyle w:val="BodyText"/>
        <w:tabs>
          <w:tab w:val="clear" w:pos="-720"/>
          <w:tab w:val="clear" w:pos="0"/>
        </w:tabs>
        <w:jc w:val="both"/>
        <w:rPr>
          <w:rFonts w:asciiTheme="minorHAnsi" w:hAnsiTheme="minorHAnsi"/>
          <w:sz w:val="24"/>
          <w:szCs w:val="24"/>
          <w:u w:val="single"/>
        </w:rPr>
      </w:pPr>
    </w:p>
    <w:p w:rsidR="006B4BD6" w:rsidRPr="006B4BD6" w:rsidRDefault="006B4BD6" w:rsidP="006B4BD6">
      <w:pPr>
        <w:pStyle w:val="BodyText"/>
        <w:tabs>
          <w:tab w:val="clear" w:pos="-720"/>
          <w:tab w:val="clear" w:pos="0"/>
        </w:tabs>
        <w:jc w:val="both"/>
        <w:rPr>
          <w:rFonts w:asciiTheme="minorHAnsi" w:hAnsiTheme="minorHAnsi"/>
          <w:sz w:val="24"/>
          <w:szCs w:val="24"/>
          <w:u w:val="single"/>
        </w:rPr>
      </w:pPr>
      <w:r w:rsidRPr="006B4BD6">
        <w:rPr>
          <w:rFonts w:asciiTheme="minorHAnsi" w:hAnsiTheme="minorHAnsi"/>
          <w:sz w:val="24"/>
          <w:szCs w:val="24"/>
          <w:u w:val="single"/>
        </w:rPr>
        <w:lastRenderedPageBreak/>
        <w:t>Com</w:t>
      </w:r>
      <w:r>
        <w:rPr>
          <w:rFonts w:asciiTheme="minorHAnsi" w:hAnsiTheme="minorHAnsi"/>
          <w:sz w:val="24"/>
          <w:szCs w:val="24"/>
          <w:u w:val="single"/>
        </w:rPr>
        <w:t>mon elements of SNL writing</w:t>
      </w:r>
    </w:p>
    <w:p w:rsidR="00C96433" w:rsidRDefault="00C96433" w:rsidP="00C96433">
      <w:pPr>
        <w:ind w:firstLine="720"/>
        <w:rPr>
          <w:rFonts w:asciiTheme="minorHAnsi" w:hAnsiTheme="minorHAnsi"/>
        </w:rPr>
      </w:pPr>
    </w:p>
    <w:p w:rsidR="006B4BD6" w:rsidRPr="006B4BD6" w:rsidRDefault="006B4BD6" w:rsidP="006B4BD6">
      <w:pPr>
        <w:pStyle w:val="BodyText"/>
        <w:pBdr>
          <w:top w:val="single" w:sz="6" w:space="2" w:color="FFFFFF"/>
        </w:pBdr>
        <w:tabs>
          <w:tab w:val="clear" w:pos="-720"/>
          <w:tab w:val="clear" w:pos="0"/>
        </w:tabs>
        <w:jc w:val="both"/>
        <w:rPr>
          <w:rFonts w:asciiTheme="minorHAnsi" w:hAnsiTheme="minorHAnsi"/>
          <w:sz w:val="24"/>
          <w:szCs w:val="24"/>
        </w:rPr>
      </w:pPr>
      <w:r w:rsidRPr="006B4BD6">
        <w:rPr>
          <w:rFonts w:asciiTheme="minorHAnsi" w:hAnsiTheme="minorHAnsi"/>
          <w:sz w:val="24"/>
          <w:szCs w:val="24"/>
        </w:rPr>
        <w:t xml:space="preserve">Inclusion of personal experience: </w:t>
      </w:r>
    </w:p>
    <w:p w:rsidR="006B4BD6" w:rsidRPr="006B4BD6" w:rsidRDefault="006B4BD6" w:rsidP="006B4BD6">
      <w:pPr>
        <w:pStyle w:val="BodyText"/>
        <w:pBdr>
          <w:top w:val="single" w:sz="6" w:space="2" w:color="FFFFFF"/>
        </w:pBdr>
        <w:tabs>
          <w:tab w:val="clear" w:pos="-720"/>
          <w:tab w:val="clear" w:pos="0"/>
        </w:tabs>
        <w:jc w:val="both"/>
        <w:rPr>
          <w:rFonts w:asciiTheme="minorHAnsi" w:hAnsiTheme="minorHAnsi"/>
          <w:b w:val="0"/>
          <w:sz w:val="24"/>
          <w:szCs w:val="24"/>
        </w:rPr>
      </w:pPr>
      <w:r w:rsidRPr="006B4BD6">
        <w:rPr>
          <w:rFonts w:asciiTheme="minorHAnsi" w:hAnsiTheme="minorHAnsi"/>
          <w:b w:val="0"/>
          <w:sz w:val="24"/>
          <w:szCs w:val="24"/>
        </w:rPr>
        <w:tab/>
        <w:t>Some SNL writing assignments</w:t>
      </w:r>
      <w:r w:rsidR="00C96433">
        <w:rPr>
          <w:rFonts w:asciiTheme="minorHAnsi" w:hAnsiTheme="minorHAnsi"/>
          <w:b w:val="0"/>
          <w:sz w:val="24"/>
          <w:szCs w:val="24"/>
        </w:rPr>
        <w:t xml:space="preserve"> (including research papers)</w:t>
      </w:r>
      <w:r w:rsidRPr="006B4BD6">
        <w:rPr>
          <w:rFonts w:asciiTheme="minorHAnsi" w:hAnsiTheme="minorHAnsi"/>
          <w:b w:val="0"/>
          <w:sz w:val="24"/>
          <w:szCs w:val="24"/>
        </w:rPr>
        <w:t xml:space="preserve"> may include more personal, introspective writing than traditional writing projects. In many instances for reflective papers, the writer is considered a reliable source because of his personal experiences. It is important to not restrict an SNL student’s personal input in a paper but help them equally incorporate their experiences with other forms of research and objectivity. </w:t>
      </w:r>
    </w:p>
    <w:p w:rsidR="006B4BD6" w:rsidRPr="006B4BD6" w:rsidRDefault="006B4BD6" w:rsidP="006B4BD6">
      <w:pPr>
        <w:pStyle w:val="BodyText"/>
        <w:pBdr>
          <w:top w:val="single" w:sz="6" w:space="2" w:color="FFFFFF"/>
        </w:pBdr>
        <w:tabs>
          <w:tab w:val="clear" w:pos="-720"/>
          <w:tab w:val="clear" w:pos="0"/>
        </w:tabs>
        <w:ind w:left="360"/>
        <w:jc w:val="both"/>
        <w:rPr>
          <w:rFonts w:asciiTheme="minorHAnsi" w:hAnsiTheme="minorHAnsi"/>
          <w:b w:val="0"/>
          <w:sz w:val="24"/>
          <w:szCs w:val="24"/>
        </w:rPr>
      </w:pPr>
    </w:p>
    <w:p w:rsidR="006B4BD6" w:rsidRPr="006B4BD6" w:rsidRDefault="006B4BD6" w:rsidP="006B4BD6">
      <w:pPr>
        <w:pStyle w:val="BodyText"/>
        <w:pBdr>
          <w:top w:val="single" w:sz="6" w:space="2" w:color="FFFFFF"/>
        </w:pBdr>
        <w:tabs>
          <w:tab w:val="clear" w:pos="-720"/>
          <w:tab w:val="clear" w:pos="0"/>
        </w:tabs>
        <w:jc w:val="both"/>
        <w:rPr>
          <w:rFonts w:asciiTheme="minorHAnsi" w:hAnsiTheme="minorHAnsi"/>
          <w:sz w:val="24"/>
          <w:szCs w:val="24"/>
        </w:rPr>
      </w:pPr>
      <w:r w:rsidRPr="006B4BD6">
        <w:rPr>
          <w:rFonts w:asciiTheme="minorHAnsi" w:hAnsiTheme="minorHAnsi"/>
          <w:sz w:val="24"/>
          <w:szCs w:val="24"/>
        </w:rPr>
        <w:t xml:space="preserve">Creative interpretation/Open-endedness: </w:t>
      </w:r>
    </w:p>
    <w:p w:rsidR="006B4BD6" w:rsidRPr="006B4BD6" w:rsidRDefault="006B4BD6" w:rsidP="006B4BD6">
      <w:pPr>
        <w:pStyle w:val="BodyText"/>
        <w:pBdr>
          <w:top w:val="single" w:sz="6" w:space="2" w:color="FFFFFF"/>
        </w:pBdr>
        <w:tabs>
          <w:tab w:val="clear" w:pos="-720"/>
          <w:tab w:val="clear" w:pos="0"/>
        </w:tabs>
        <w:jc w:val="both"/>
        <w:rPr>
          <w:rFonts w:asciiTheme="minorHAnsi" w:hAnsiTheme="minorHAnsi"/>
          <w:b w:val="0"/>
          <w:sz w:val="24"/>
          <w:szCs w:val="24"/>
        </w:rPr>
      </w:pPr>
      <w:r w:rsidRPr="006B4BD6">
        <w:rPr>
          <w:rFonts w:asciiTheme="minorHAnsi" w:hAnsiTheme="minorHAnsi"/>
          <w:b w:val="0"/>
          <w:sz w:val="24"/>
          <w:szCs w:val="24"/>
        </w:rPr>
        <w:tab/>
        <w:t xml:space="preserve">In many cases, SNL assignments are open to creative interpretation. For example, pretend there is a competency centered on understanding "health." The writer could have choices to make, such as discussing mental or physical health. This open-endedness allows writers to personalize their work and challenge themselves to create a unique end product. However, some SNL learners feel uncomfortable because of loose assignment boundaries of “correct” and “wrong.” When faced with these challenges, going through pre-writing strategies will most likely help writers manage their creative freedom while maintaining the unique aspects of a writing assignment. </w:t>
      </w:r>
    </w:p>
    <w:p w:rsidR="00C96433" w:rsidRDefault="00C96433" w:rsidP="006B4BD6"/>
    <w:p w:rsidR="00C96433" w:rsidRDefault="00C96433" w:rsidP="00C96433"/>
    <w:p w:rsidR="00FA5A42" w:rsidRDefault="00FA5A42" w:rsidP="00C96433">
      <w:pPr>
        <w:pStyle w:val="BodyText"/>
        <w:pBdr>
          <w:top w:val="single" w:sz="6" w:space="2" w:color="FFFFFF"/>
        </w:pBdr>
        <w:tabs>
          <w:tab w:val="clear" w:pos="-720"/>
          <w:tab w:val="clear" w:pos="0"/>
        </w:tabs>
        <w:jc w:val="both"/>
        <w:rPr>
          <w:rFonts w:asciiTheme="minorHAnsi" w:hAnsiTheme="minorHAnsi"/>
          <w:b w:val="0"/>
          <w:sz w:val="24"/>
          <w:szCs w:val="24"/>
        </w:rPr>
      </w:pPr>
      <w:r>
        <w:rPr>
          <w:rFonts w:asciiTheme="minorHAnsi" w:hAnsiTheme="minorHAnsi"/>
          <w:b w:val="0"/>
          <w:sz w:val="24"/>
          <w:szCs w:val="24"/>
        </w:rPr>
        <w:t>D</w:t>
      </w:r>
      <w:r w:rsidR="00C96433" w:rsidRPr="006B4BD6">
        <w:rPr>
          <w:rFonts w:asciiTheme="minorHAnsi" w:hAnsiTheme="minorHAnsi"/>
          <w:b w:val="0"/>
          <w:sz w:val="24"/>
          <w:szCs w:val="24"/>
        </w:rPr>
        <w:t>efinitions taken from</w:t>
      </w:r>
      <w:r>
        <w:rPr>
          <w:rFonts w:asciiTheme="minorHAnsi" w:hAnsiTheme="minorHAnsi"/>
          <w:b w:val="0"/>
          <w:sz w:val="24"/>
          <w:szCs w:val="24"/>
        </w:rPr>
        <w:t>:</w:t>
      </w:r>
    </w:p>
    <w:p w:rsidR="00C7077A" w:rsidRDefault="00C7077A" w:rsidP="00C96433">
      <w:pPr>
        <w:pStyle w:val="BodyText"/>
        <w:pBdr>
          <w:top w:val="single" w:sz="6" w:space="2" w:color="FFFFFF"/>
        </w:pBdr>
        <w:tabs>
          <w:tab w:val="clear" w:pos="-720"/>
          <w:tab w:val="clear" w:pos="0"/>
        </w:tabs>
        <w:jc w:val="both"/>
        <w:rPr>
          <w:rFonts w:asciiTheme="minorHAnsi" w:hAnsiTheme="minorHAnsi"/>
          <w:b w:val="0"/>
          <w:i/>
          <w:sz w:val="24"/>
          <w:szCs w:val="24"/>
        </w:rPr>
      </w:pPr>
    </w:p>
    <w:p w:rsidR="00FA5A42" w:rsidRPr="00C7077A" w:rsidRDefault="00C7077A" w:rsidP="00C7077A">
      <w:pPr>
        <w:pStyle w:val="BodyText"/>
        <w:pBdr>
          <w:top w:val="single" w:sz="6" w:space="2" w:color="FFFFFF"/>
        </w:pBdr>
        <w:tabs>
          <w:tab w:val="clear" w:pos="-720"/>
          <w:tab w:val="clear" w:pos="0"/>
        </w:tabs>
        <w:rPr>
          <w:rFonts w:asciiTheme="minorHAnsi" w:hAnsiTheme="minorHAnsi"/>
          <w:b w:val="0"/>
          <w:sz w:val="24"/>
          <w:szCs w:val="24"/>
        </w:rPr>
      </w:pPr>
      <w:proofErr w:type="gramStart"/>
      <w:r>
        <w:rPr>
          <w:rFonts w:asciiTheme="minorHAnsi" w:hAnsiTheme="minorHAnsi"/>
          <w:b w:val="0"/>
          <w:sz w:val="24"/>
          <w:szCs w:val="24"/>
        </w:rPr>
        <w:t xml:space="preserve">Kwiatkowski, et al. </w:t>
      </w:r>
      <w:r w:rsidRPr="00C7077A">
        <w:rPr>
          <w:rFonts w:ascii="Calibri" w:hAnsi="Calibri"/>
          <w:b w:val="0"/>
          <w:i/>
          <w:sz w:val="24"/>
          <w:szCs w:val="24"/>
        </w:rPr>
        <w:t>Handbook for Suburban Campus Group Leaders</w:t>
      </w:r>
      <w:r>
        <w:rPr>
          <w:rFonts w:asciiTheme="minorHAnsi" w:hAnsiTheme="minorHAnsi"/>
          <w:b w:val="0"/>
          <w:i/>
          <w:sz w:val="24"/>
          <w:szCs w:val="24"/>
        </w:rPr>
        <w:t>.</w:t>
      </w:r>
      <w:proofErr w:type="gramEnd"/>
      <w:r>
        <w:rPr>
          <w:rFonts w:asciiTheme="minorHAnsi" w:hAnsiTheme="minorHAnsi"/>
          <w:b w:val="0"/>
          <w:i/>
          <w:sz w:val="24"/>
          <w:szCs w:val="24"/>
        </w:rPr>
        <w:t xml:space="preserve"> </w:t>
      </w:r>
      <w:proofErr w:type="gramStart"/>
      <w:r>
        <w:rPr>
          <w:rFonts w:asciiTheme="minorHAnsi" w:hAnsiTheme="minorHAnsi"/>
          <w:b w:val="0"/>
          <w:sz w:val="24"/>
          <w:szCs w:val="24"/>
        </w:rPr>
        <w:t>University Center for Writing-based Learning, 2010.</w:t>
      </w:r>
      <w:proofErr w:type="gramEnd"/>
    </w:p>
    <w:p w:rsidR="00C7077A" w:rsidRDefault="00C7077A" w:rsidP="00C96433">
      <w:pPr>
        <w:pStyle w:val="BodyText"/>
        <w:pBdr>
          <w:top w:val="single" w:sz="6" w:space="2" w:color="FFFFFF"/>
        </w:pBdr>
        <w:tabs>
          <w:tab w:val="clear" w:pos="-720"/>
          <w:tab w:val="clear" w:pos="0"/>
        </w:tabs>
        <w:jc w:val="both"/>
        <w:rPr>
          <w:rFonts w:asciiTheme="minorHAnsi" w:hAnsiTheme="minorHAnsi"/>
          <w:b w:val="0"/>
          <w:sz w:val="24"/>
          <w:szCs w:val="24"/>
        </w:rPr>
      </w:pPr>
    </w:p>
    <w:p w:rsidR="00C96433" w:rsidRPr="006B4BD6" w:rsidRDefault="00C96433" w:rsidP="00C96433">
      <w:pPr>
        <w:pStyle w:val="BodyText"/>
        <w:pBdr>
          <w:top w:val="single" w:sz="6" w:space="2" w:color="FFFFFF"/>
        </w:pBdr>
        <w:tabs>
          <w:tab w:val="clear" w:pos="-720"/>
          <w:tab w:val="clear" w:pos="0"/>
        </w:tabs>
        <w:jc w:val="both"/>
        <w:rPr>
          <w:rFonts w:asciiTheme="minorHAnsi" w:hAnsiTheme="minorHAnsi"/>
          <w:b w:val="0"/>
          <w:sz w:val="24"/>
          <w:szCs w:val="24"/>
        </w:rPr>
      </w:pPr>
      <w:r w:rsidRPr="006B4BD6">
        <w:rPr>
          <w:rFonts w:asciiTheme="minorHAnsi" w:hAnsiTheme="minorHAnsi"/>
          <w:b w:val="0"/>
          <w:sz w:val="24"/>
          <w:szCs w:val="24"/>
        </w:rPr>
        <w:t xml:space="preserve"> </w:t>
      </w:r>
      <w:r w:rsidRPr="006B4BD6">
        <w:rPr>
          <w:rFonts w:asciiTheme="minorHAnsi" w:hAnsiTheme="minorHAnsi"/>
          <w:b w:val="0"/>
          <w:i/>
          <w:sz w:val="24"/>
          <w:szCs w:val="24"/>
        </w:rPr>
        <w:t xml:space="preserve">DePaul SNL Online. </w:t>
      </w:r>
      <w:proofErr w:type="gramStart"/>
      <w:r w:rsidRPr="006B4BD6">
        <w:rPr>
          <w:rFonts w:asciiTheme="minorHAnsi" w:hAnsiTheme="minorHAnsi"/>
          <w:b w:val="0"/>
          <w:sz w:val="24"/>
          <w:szCs w:val="24"/>
        </w:rPr>
        <w:t>DePaul University, 2001.</w:t>
      </w:r>
      <w:proofErr w:type="gramEnd"/>
      <w:r w:rsidRPr="006B4BD6">
        <w:rPr>
          <w:rFonts w:asciiTheme="minorHAnsi" w:hAnsiTheme="minorHAnsi"/>
          <w:b w:val="0"/>
          <w:sz w:val="24"/>
          <w:szCs w:val="24"/>
        </w:rPr>
        <w:t xml:space="preserve"> </w:t>
      </w:r>
      <w:proofErr w:type="gramStart"/>
      <w:r w:rsidRPr="006B4BD6">
        <w:rPr>
          <w:rFonts w:asciiTheme="minorHAnsi" w:hAnsiTheme="minorHAnsi"/>
          <w:b w:val="0"/>
          <w:sz w:val="24"/>
          <w:szCs w:val="24"/>
        </w:rPr>
        <w:t>Web.</w:t>
      </w:r>
      <w:proofErr w:type="gramEnd"/>
      <w:r w:rsidRPr="006B4BD6">
        <w:rPr>
          <w:rFonts w:asciiTheme="minorHAnsi" w:hAnsiTheme="minorHAnsi"/>
          <w:b w:val="0"/>
          <w:sz w:val="24"/>
          <w:szCs w:val="24"/>
        </w:rPr>
        <w:t xml:space="preserve"> 06 July 2010. </w:t>
      </w:r>
    </w:p>
    <w:p w:rsidR="00793399" w:rsidRPr="00C96433" w:rsidRDefault="00793399" w:rsidP="00C96433"/>
    <w:sectPr w:rsidR="00793399" w:rsidRPr="00C96433" w:rsidSect="007933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7A" w:rsidRDefault="00C7077A" w:rsidP="00FA5A42">
      <w:r>
        <w:separator/>
      </w:r>
    </w:p>
  </w:endnote>
  <w:endnote w:type="continuationSeparator" w:id="0">
    <w:p w:rsidR="00C7077A" w:rsidRDefault="00C7077A" w:rsidP="00FA5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7A" w:rsidRDefault="00C7077A" w:rsidP="00FA5A42">
      <w:r>
        <w:separator/>
      </w:r>
    </w:p>
  </w:footnote>
  <w:footnote w:type="continuationSeparator" w:id="0">
    <w:p w:rsidR="00C7077A" w:rsidRDefault="00C7077A" w:rsidP="00FA5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274"/>
    <w:multiLevelType w:val="multilevel"/>
    <w:tmpl w:val="DE1EDBBE"/>
    <w:lvl w:ilvl="0">
      <w:start w:val="12"/>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6B4BD6"/>
    <w:rsid w:val="00072B8E"/>
    <w:rsid w:val="000B71EB"/>
    <w:rsid w:val="00196817"/>
    <w:rsid w:val="003410CF"/>
    <w:rsid w:val="006B4BD6"/>
    <w:rsid w:val="00793399"/>
    <w:rsid w:val="007E35E2"/>
    <w:rsid w:val="00A80677"/>
    <w:rsid w:val="00C7077A"/>
    <w:rsid w:val="00C96433"/>
    <w:rsid w:val="00FA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4BD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napToGrid w:val="0"/>
      <w:sz w:val="20"/>
      <w:szCs w:val="20"/>
    </w:rPr>
  </w:style>
  <w:style w:type="character" w:customStyle="1" w:styleId="BodyTextChar">
    <w:name w:val="Body Text Char"/>
    <w:basedOn w:val="DefaultParagraphFont"/>
    <w:link w:val="BodyText"/>
    <w:rsid w:val="006B4BD6"/>
    <w:rPr>
      <w:rFonts w:ascii="Arial" w:eastAsia="Times New Roman" w:hAnsi="Arial" w:cs="Times New Roman"/>
      <w:b/>
      <w:snapToGrid w:val="0"/>
      <w:sz w:val="20"/>
      <w:szCs w:val="20"/>
    </w:rPr>
  </w:style>
  <w:style w:type="paragraph" w:styleId="BodyText3">
    <w:name w:val="Body Text 3"/>
    <w:basedOn w:val="Normal"/>
    <w:link w:val="BodyText3Char"/>
    <w:uiPriority w:val="99"/>
    <w:semiHidden/>
    <w:unhideWhenUsed/>
    <w:rsid w:val="00C96433"/>
    <w:pPr>
      <w:spacing w:after="120"/>
    </w:pPr>
    <w:rPr>
      <w:sz w:val="16"/>
      <w:szCs w:val="16"/>
    </w:rPr>
  </w:style>
  <w:style w:type="character" w:customStyle="1" w:styleId="BodyText3Char">
    <w:name w:val="Body Text 3 Char"/>
    <w:basedOn w:val="DefaultParagraphFont"/>
    <w:link w:val="BodyText3"/>
    <w:uiPriority w:val="99"/>
    <w:semiHidden/>
    <w:rsid w:val="00C96433"/>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FA5A42"/>
    <w:pPr>
      <w:tabs>
        <w:tab w:val="center" w:pos="4680"/>
        <w:tab w:val="right" w:pos="9360"/>
      </w:tabs>
    </w:pPr>
  </w:style>
  <w:style w:type="character" w:customStyle="1" w:styleId="HeaderChar">
    <w:name w:val="Header Char"/>
    <w:basedOn w:val="DefaultParagraphFont"/>
    <w:link w:val="Header"/>
    <w:uiPriority w:val="99"/>
    <w:semiHidden/>
    <w:rsid w:val="00FA5A4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5A42"/>
    <w:pPr>
      <w:tabs>
        <w:tab w:val="center" w:pos="4680"/>
        <w:tab w:val="right" w:pos="9360"/>
      </w:tabs>
    </w:pPr>
  </w:style>
  <w:style w:type="character" w:customStyle="1" w:styleId="FooterChar">
    <w:name w:val="Footer Char"/>
    <w:basedOn w:val="DefaultParagraphFont"/>
    <w:link w:val="Footer"/>
    <w:uiPriority w:val="99"/>
    <w:semiHidden/>
    <w:rsid w:val="00FA5A42"/>
    <w:rPr>
      <w:rFonts w:ascii="Times New Roman" w:eastAsia="Times New Roman" w:hAnsi="Times New Roman" w:cs="Times New Roman"/>
      <w:sz w:val="24"/>
      <w:szCs w:val="24"/>
    </w:rPr>
  </w:style>
  <w:style w:type="character" w:styleId="Strong">
    <w:name w:val="Strong"/>
    <w:basedOn w:val="DefaultParagraphFont"/>
    <w:uiPriority w:val="22"/>
    <w:qFormat/>
    <w:rsid w:val="00A80677"/>
    <w:rPr>
      <w:b/>
      <w:bCs/>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DePaul University</dc:creator>
  <cp:keywords/>
  <dc:description/>
  <cp:lastModifiedBy>DePaul University</cp:lastModifiedBy>
  <cp:revision>4</cp:revision>
  <dcterms:created xsi:type="dcterms:W3CDTF">2011-04-06T14:33:00Z</dcterms:created>
  <dcterms:modified xsi:type="dcterms:W3CDTF">2011-04-06T15:50:00Z</dcterms:modified>
</cp:coreProperties>
</file>